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533C5B">
      <w:pPr>
        <w:bidi w:val="0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2</w:t>
      </w:r>
    </w:p>
    <w:p w14:paraId="4C77A9B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240" w:lineRule="atLeas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小标宋_GBK" w:cs="Times New Roman"/>
          <w:b w:val="0"/>
          <w:bCs/>
          <w:color w:val="auto"/>
          <w:kern w:val="0"/>
          <w:sz w:val="32"/>
          <w:szCs w:val="32"/>
          <w:lang w:val="en-US" w:eastAsia="zh-CN" w:bidi="ar-SA"/>
        </w:rPr>
        <w:t>湿地公园户外拓展训练基地建设及合作运营初审评审标准</w:t>
      </w:r>
    </w:p>
    <w:tbl>
      <w:tblPr>
        <w:tblStyle w:val="3"/>
        <w:tblW w:w="873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3"/>
        <w:gridCol w:w="769"/>
        <w:gridCol w:w="6900"/>
      </w:tblGrid>
      <w:tr w14:paraId="1F8158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1063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7FF28F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100" w:lineRule="atLeas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评分内容</w:t>
            </w: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1848DE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100" w:lineRule="atLeas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分值</w:t>
            </w:r>
          </w:p>
        </w:tc>
        <w:tc>
          <w:tcPr>
            <w:tcW w:w="6900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5D61C4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100" w:lineRule="atLeas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分值评分标准</w:t>
            </w:r>
          </w:p>
        </w:tc>
      </w:tr>
      <w:tr w14:paraId="053613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60" w:hRule="atLeast"/>
          <w:jc w:val="center"/>
        </w:trPr>
        <w:tc>
          <w:tcPr>
            <w:tcW w:w="1063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397EBE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100" w:lineRule="atLeast"/>
              <w:ind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auto"/>
                <w:spacing w:val="0"/>
                <w:sz w:val="22"/>
                <w:szCs w:val="22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shd w:val="clear" w:color="auto" w:fill="auto"/>
                <w:lang w:val="en-US" w:eastAsia="zh-CN" w:bidi="ar"/>
              </w:rPr>
              <w:t>项目设计方案合理性</w:t>
            </w: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7A157A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100" w:lineRule="atLeast"/>
              <w:ind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auto"/>
                <w:spacing w:val="0"/>
                <w:sz w:val="22"/>
                <w:szCs w:val="22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shd w:val="clear" w:color="auto" w:fill="auto"/>
                <w:lang w:val="en-US" w:eastAsia="zh-CN" w:bidi="ar"/>
              </w:rPr>
              <w:t>30分</w:t>
            </w:r>
          </w:p>
        </w:tc>
        <w:tc>
          <w:tcPr>
            <w:tcW w:w="6900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3A88B3D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100" w:lineRule="atLeast"/>
              <w:jc w:val="left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shd w:val="clear" w:color="auto" w:fill="auto"/>
                <w:lang w:val="en-US" w:eastAsia="zh-CN" w:bidi="ar"/>
              </w:rPr>
              <w:t>1.建设内容完整性：包含至少5条不同难度的林下拓展线路（含低空拓展，高度≤2米）、符合水面情况的绳网迷宫（强度和稳定性达标）、功能完善的户外拓展训练休闲区10分，每缺1项核心内容扣3</w:t>
            </w:r>
            <w:r>
              <w:rPr>
                <w:rFonts w:hint="eastAsia" w:eastAsia="仿宋_GB2312" w:cs="Times New Roman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shd w:val="clear" w:color="auto" w:fill="auto"/>
                <w:lang w:val="en-US" w:eastAsia="zh-CN" w:bidi="ar"/>
              </w:rPr>
              <w:t>～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shd w:val="clear" w:color="auto" w:fill="auto"/>
                <w:lang w:val="en-US" w:eastAsia="zh-CN" w:bidi="ar"/>
              </w:rPr>
              <w:t>5分，扣完为止。</w:t>
            </w:r>
          </w:p>
          <w:p w14:paraId="720E2FE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100" w:lineRule="atLeast"/>
              <w:jc w:val="left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shd w:val="clear" w:color="auto" w:fill="auto"/>
                <w:lang w:val="en-US" w:eastAsia="zh-CN" w:bidi="ar"/>
              </w:rPr>
              <w:t>2.生态保护与景观协调：建设过程最大限度减少生态破坏，设施颜色、造型与周边自然景观协调5分，不符合要求酌情扣1</w:t>
            </w:r>
            <w:r>
              <w:rPr>
                <w:rFonts w:hint="eastAsia" w:eastAsia="仿宋_GB2312" w:cs="Times New Roman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shd w:val="clear" w:color="auto" w:fill="auto"/>
                <w:lang w:val="en-US" w:eastAsia="zh-CN" w:bidi="ar"/>
              </w:rPr>
              <w:t>～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shd w:val="clear" w:color="auto" w:fill="auto"/>
                <w:lang w:val="en-US" w:eastAsia="zh-CN" w:bidi="ar"/>
              </w:rPr>
              <w:t>5分。</w:t>
            </w:r>
          </w:p>
          <w:p w14:paraId="18567E0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100" w:lineRule="atLeast"/>
              <w:ind w:lef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shd w:val="clear" w:color="auto" w:fill="auto"/>
                <w:lang w:val="en-US" w:eastAsia="zh-CN" w:bidi="ar"/>
              </w:rPr>
              <w:t>3.科普内容融入：10分，未融入或融入不足酌情扣1</w:t>
            </w:r>
            <w:r>
              <w:rPr>
                <w:rFonts w:hint="eastAsia" w:eastAsia="仿宋_GB2312" w:cs="Times New Roman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shd w:val="clear" w:color="auto" w:fill="auto"/>
                <w:lang w:val="en-US" w:eastAsia="zh-CN" w:bidi="ar"/>
              </w:rPr>
              <w:t>～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shd w:val="clear" w:color="auto" w:fill="auto"/>
                <w:lang w:val="en-US" w:eastAsia="zh-CN" w:bidi="ar"/>
              </w:rPr>
              <w:t>5分。</w:t>
            </w:r>
          </w:p>
          <w:p w14:paraId="72ACF60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100" w:lineRule="atLeast"/>
              <w:ind w:lef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auto"/>
                <w:spacing w:val="0"/>
                <w:sz w:val="22"/>
                <w:szCs w:val="22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shd w:val="clear" w:color="auto" w:fill="auto"/>
                <w:lang w:val="en-US" w:eastAsia="zh-CN" w:bidi="ar"/>
              </w:rPr>
              <w:t>4.整体设计科学性：能满足不同年龄段、不同体能水平人群需求，功能布局合理5分，设计不合理酌情扣1</w:t>
            </w:r>
            <w:r>
              <w:rPr>
                <w:rFonts w:hint="eastAsia" w:eastAsia="仿宋_GB2312" w:cs="Times New Roman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shd w:val="clear" w:color="auto" w:fill="auto"/>
                <w:lang w:val="en-US" w:eastAsia="zh-CN" w:bidi="ar"/>
              </w:rPr>
              <w:t>～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shd w:val="clear" w:color="auto" w:fill="auto"/>
                <w:lang w:val="en-US" w:eastAsia="zh-CN" w:bidi="ar"/>
              </w:rPr>
              <w:t>5分。</w:t>
            </w:r>
          </w:p>
        </w:tc>
      </w:tr>
      <w:tr w14:paraId="75711D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1" w:hRule="atLeast"/>
          <w:jc w:val="center"/>
        </w:trPr>
        <w:tc>
          <w:tcPr>
            <w:tcW w:w="1063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30BB55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100" w:lineRule="atLeast"/>
              <w:ind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auto"/>
                <w:spacing w:val="0"/>
                <w:sz w:val="22"/>
                <w:szCs w:val="22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shd w:val="clear" w:color="auto" w:fill="auto"/>
                <w:lang w:val="en-US" w:eastAsia="zh-CN" w:bidi="ar"/>
              </w:rPr>
              <w:t>运营能力匹配度</w:t>
            </w: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3744FB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100" w:lineRule="atLeast"/>
              <w:ind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auto"/>
                <w:spacing w:val="0"/>
                <w:sz w:val="22"/>
                <w:szCs w:val="22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shd w:val="clear" w:color="auto" w:fill="auto"/>
                <w:lang w:val="en-US" w:eastAsia="zh-CN" w:bidi="ar"/>
              </w:rPr>
              <w:t>20分</w:t>
            </w:r>
          </w:p>
        </w:tc>
        <w:tc>
          <w:tcPr>
            <w:tcW w:w="6900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638141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100" w:lineRule="atLeast"/>
              <w:ind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auto"/>
                <w:spacing w:val="0"/>
                <w:sz w:val="22"/>
                <w:szCs w:val="22"/>
                <w:shd w:val="clear" w:color="auto" w:fill="auto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shd w:val="clear" w:color="auto" w:fill="auto"/>
                <w:lang w:val="en-US" w:eastAsia="zh-CN" w:bidi="ar"/>
              </w:rPr>
              <w:t>1.同类项目运营经验：过往运营的户外拓展或游乐文旅项目效果良好（案例中体现运营数据等）10分，有1个优质案例得8</w:t>
            </w:r>
            <w:r>
              <w:rPr>
                <w:rFonts w:hint="eastAsia" w:eastAsia="仿宋_GB2312" w:cs="Times New Roman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shd w:val="clear" w:color="auto" w:fill="auto"/>
                <w:lang w:val="en-US" w:eastAsia="zh-CN" w:bidi="ar"/>
              </w:rPr>
              <w:t>～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shd w:val="clear" w:color="auto" w:fill="auto"/>
                <w:lang w:val="en-US" w:eastAsia="zh-CN" w:bidi="ar"/>
              </w:rPr>
              <w:t>10分，有案例但效果一般得4</w:t>
            </w:r>
            <w:r>
              <w:rPr>
                <w:rFonts w:hint="eastAsia" w:eastAsia="仿宋_GB2312" w:cs="Times New Roman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shd w:val="clear" w:color="auto" w:fill="auto"/>
                <w:lang w:val="en-US" w:eastAsia="zh-CN" w:bidi="ar"/>
              </w:rPr>
              <w:t>～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shd w:val="clear" w:color="auto" w:fill="auto"/>
                <w:lang w:val="en-US" w:eastAsia="zh-CN" w:bidi="ar"/>
              </w:rPr>
              <w:t>7分，无案例不得分。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shd w:val="clear" w:color="auto" w:fill="auto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shd w:val="clear" w:color="auto" w:fill="auto"/>
                <w:lang w:val="en-US" w:eastAsia="zh-CN" w:bidi="ar"/>
              </w:rPr>
              <w:t>2.拟派驻团队资质：团队成员具备相关资历、经验及岗位资质10分，团队全员资质齐全且经验丰富得8</w:t>
            </w:r>
            <w:r>
              <w:rPr>
                <w:rFonts w:hint="eastAsia" w:eastAsia="仿宋_GB2312" w:cs="Times New Roman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shd w:val="clear" w:color="auto" w:fill="auto"/>
                <w:lang w:val="en-US" w:eastAsia="zh-CN" w:bidi="ar"/>
              </w:rPr>
              <w:t>～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shd w:val="clear" w:color="auto" w:fill="auto"/>
                <w:lang w:val="en-US" w:eastAsia="zh-CN" w:bidi="ar"/>
              </w:rPr>
              <w:t>10分，部分人员达标得4</w:t>
            </w:r>
            <w:r>
              <w:rPr>
                <w:rFonts w:hint="eastAsia" w:eastAsia="仿宋_GB2312" w:cs="Times New Roman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shd w:val="clear" w:color="auto" w:fill="auto"/>
                <w:lang w:val="en-US" w:eastAsia="zh-CN" w:bidi="ar"/>
              </w:rPr>
              <w:t>～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shd w:val="clear" w:color="auto" w:fill="auto"/>
                <w:lang w:val="en-US" w:eastAsia="zh-CN" w:bidi="ar"/>
              </w:rPr>
              <w:t>7分，资质不足得0-3分。</w:t>
            </w:r>
          </w:p>
        </w:tc>
      </w:tr>
      <w:tr w14:paraId="77AE09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3" w:hRule="atLeast"/>
          <w:jc w:val="center"/>
        </w:trPr>
        <w:tc>
          <w:tcPr>
            <w:tcW w:w="1063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0DAEA4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100" w:lineRule="atLeast"/>
              <w:ind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auto"/>
                <w:spacing w:val="0"/>
                <w:sz w:val="22"/>
                <w:szCs w:val="22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shd w:val="clear" w:color="auto" w:fill="auto"/>
                <w:lang w:val="en-US" w:eastAsia="zh-CN" w:bidi="ar"/>
              </w:rPr>
              <w:t>合作方案合规性</w:t>
            </w: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5524ED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100" w:lineRule="atLeast"/>
              <w:ind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auto"/>
                <w:spacing w:val="0"/>
                <w:sz w:val="22"/>
                <w:szCs w:val="22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shd w:val="clear" w:color="auto" w:fill="auto"/>
                <w:lang w:val="en-US" w:eastAsia="zh-CN" w:bidi="ar"/>
              </w:rPr>
              <w:t>20分</w:t>
            </w:r>
          </w:p>
        </w:tc>
        <w:tc>
          <w:tcPr>
            <w:tcW w:w="6900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5DB1769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100" w:lineRule="atLeast"/>
              <w:jc w:val="left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shd w:val="clear" w:color="auto" w:fill="auto"/>
                <w:lang w:val="en-US" w:eastAsia="zh-CN" w:bidi="ar"/>
              </w:rPr>
              <w:t>1.收入分成方案：明确科技馆分成比例不低于20%10分，符合要求得10分，不符合不得分。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shd w:val="clear" w:color="auto" w:fill="auto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shd w:val="clear" w:color="auto" w:fill="auto"/>
                <w:lang w:val="en-US" w:eastAsia="zh-CN" w:bidi="ar"/>
              </w:rPr>
              <w:t>2.合作职责划分：清晰界定科技馆（提供场地、水电等）与合作单位（设计、建设、运营等）的职责5分，职责明确得5分，界定模糊酌情扣1</w:t>
            </w:r>
            <w:r>
              <w:rPr>
                <w:rFonts w:hint="eastAsia" w:eastAsia="仿宋_GB2312" w:cs="Times New Roman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shd w:val="clear" w:color="auto" w:fill="auto"/>
                <w:lang w:val="en-US" w:eastAsia="zh-CN" w:bidi="ar"/>
              </w:rPr>
              <w:t>～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shd w:val="clear" w:color="auto" w:fill="auto"/>
                <w:lang w:val="en-US" w:eastAsia="zh-CN" w:bidi="ar"/>
              </w:rPr>
              <w:t>4分。</w:t>
            </w:r>
          </w:p>
          <w:p w14:paraId="5BBD7B6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100" w:lineRule="atLeast"/>
              <w:jc w:val="left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shd w:val="clear" w:color="auto" w:fill="auto"/>
                <w:lang w:val="en-US" w:eastAsia="zh-CN" w:bidi="ar"/>
              </w:rPr>
              <w:t>3.项目运营管理方案：项目开放时间、运营方案合理性5分，根据因项目运营科技馆需增加的人员，每增加1人扣1分。</w:t>
            </w:r>
          </w:p>
        </w:tc>
      </w:tr>
      <w:tr w14:paraId="02106B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6" w:hRule="atLeast"/>
          <w:jc w:val="center"/>
        </w:trPr>
        <w:tc>
          <w:tcPr>
            <w:tcW w:w="1063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3EA201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100" w:lineRule="atLeast"/>
              <w:ind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shd w:val="clear" w:color="auto" w:fill="auto"/>
                <w:lang w:val="en-US" w:eastAsia="zh-CN" w:bidi="ar"/>
              </w:rPr>
              <w:t>安全运营能力</w:t>
            </w: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11F061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100" w:lineRule="atLeast"/>
              <w:ind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shd w:val="clear" w:color="auto" w:fill="auto"/>
                <w:lang w:val="en-US" w:eastAsia="zh-CN" w:bidi="ar"/>
              </w:rPr>
              <w:t>20分</w:t>
            </w:r>
          </w:p>
        </w:tc>
        <w:tc>
          <w:tcPr>
            <w:tcW w:w="6900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470777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100" w:lineRule="atLeast"/>
              <w:ind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shd w:val="clear" w:color="auto" w:fill="auto"/>
                <w:lang w:val="en-US" w:eastAsia="zh-CN" w:bidi="ar"/>
              </w:rPr>
              <w:t>1.安全标准符合性：器材符合国家相关安全标准，采用高强度、耐腐蚀、环保材料，关键节点设置安全保护装置（安全绳、缓冲垫等）10分，材料或安全装置不达标酌情扣1</w:t>
            </w:r>
            <w:r>
              <w:rPr>
                <w:rFonts w:hint="eastAsia" w:eastAsia="仿宋_GB2312" w:cs="Times New Roman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shd w:val="clear" w:color="auto" w:fill="auto"/>
                <w:lang w:val="en-US" w:eastAsia="zh-CN" w:bidi="ar"/>
              </w:rPr>
              <w:t>～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shd w:val="clear" w:color="auto" w:fill="auto"/>
                <w:lang w:val="en-US" w:eastAsia="zh-CN" w:bidi="ar"/>
              </w:rPr>
              <w:t>10分。</w:t>
            </w:r>
          </w:p>
          <w:p w14:paraId="6A188D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100" w:lineRule="atLeast"/>
              <w:ind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shd w:val="clear" w:color="auto" w:fill="auto"/>
                <w:lang w:val="en-US" w:eastAsia="zh-CN" w:bidi="ar"/>
              </w:rPr>
              <w:t>2.安全运行方案：包含完善的安全保障措施、突发事件应急处置流程及保险购买方案10分，方案全面可行得8</w:t>
            </w:r>
            <w:r>
              <w:rPr>
                <w:rFonts w:hint="eastAsia" w:eastAsia="仿宋_GB2312" w:cs="Times New Roman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shd w:val="clear" w:color="auto" w:fill="auto"/>
                <w:lang w:val="en-US" w:eastAsia="zh-CN" w:bidi="ar"/>
              </w:rPr>
              <w:t>～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shd w:val="clear" w:color="auto" w:fill="auto"/>
                <w:lang w:val="en-US" w:eastAsia="zh-CN" w:bidi="ar"/>
              </w:rPr>
              <w:t>10分，基本完善得4</w:t>
            </w:r>
            <w:r>
              <w:rPr>
                <w:rFonts w:hint="eastAsia" w:eastAsia="仿宋_GB2312" w:cs="Times New Roman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shd w:val="clear" w:color="auto" w:fill="auto"/>
                <w:lang w:val="en-US" w:eastAsia="zh-CN" w:bidi="ar"/>
              </w:rPr>
              <w:t>～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shd w:val="clear" w:color="auto" w:fill="auto"/>
                <w:lang w:val="en-US" w:eastAsia="zh-CN" w:bidi="ar"/>
              </w:rPr>
              <w:t>7分，不完善得0-3分。</w:t>
            </w:r>
          </w:p>
        </w:tc>
      </w:tr>
    </w:tbl>
    <w:p w14:paraId="69D2D03B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FB3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after="0"/>
      <w:ind w:firstLine="0" w:firstLineChars="0"/>
      <w:jc w:val="center"/>
      <w:outlineLvl w:val="0"/>
    </w:pPr>
    <w:rPr>
      <w:rFonts w:hint="eastAsia" w:ascii="Times New Roman" w:hAnsi="Times New Roman" w:eastAsia="方正小标宋_GBK" w:cs="Times New Roman"/>
      <w:b/>
      <w:color w:val="000000" w:themeColor="text1"/>
      <w:kern w:val="44"/>
      <w:sz w:val="44"/>
      <w:szCs w:val="44"/>
      <w14:textFill>
        <w14:solidFill>
          <w14:schemeClr w14:val="tx1"/>
        </w14:solidFill>
      </w14:textFill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2025-08-04T06:24:00Z</dcterms:created>
  <dc:creator>Administrator</dc:creator>
  <cp:lastModifiedBy>堇色半未</cp:lastModifiedBy>
  <dcterms:modified xsi:type="dcterms:W3CDTF">2025-08-04T06:24:10Z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eyJoZGlkIjoiZTdlYmY3MzI4MTgxYjQzYmQyZjkyMmJkYjAxOWM0NzUiLCJ1c2VySWQiOiIxMjA2ODg1NDE1In0=</vt:lpwstr>
  </property>
  <property fmtid="{D5CDD505-2E9C-101B-9397-08002B2CF9AE}" pid="4" name="ICV">
    <vt:lpwstr>8256B33A93B1482AB68966D641F99243_12</vt:lpwstr>
  </property>
</Properties>
</file>